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27"/>
    <w:p>
      <w:pPr>
        <w:pStyle w:val="Heading1"/>
      </w:pPr>
      <w:r>
        <w:t xml:space="preserve">Homiletics Analysis: Psalms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27 is a unified psalm of David moving through two distinct but inseparable movements. The first half (vv. 1–6) is a bold confession of confidence: the LORD is David’s light, salvation, and stronghold, and therefore David fears no enemy, no army, no siege. The ground of this confidence is not military strength but the singular desire of David’s life — to dwell in the house of the LORD, to gaze upon His beauty, to inquire in His temple. That dwelling is itself a shelter: in the day of trouble, the LORD hides David in His tent, sets him high on a rock, and causes him to triumph over his enemies. The movement from threat (vv. 2–3) through refuge (vv. 4–5) to triumph (v. 6) traces a complete arc of faith.</w:t>
      </w:r>
    </w:p>
    <w:p>
      <w:pPr>
        <w:pStyle w:val="BodyText"/>
      </w:pPr>
      <w:r>
        <w:t xml:space="preserve">The second half (vv. 7–14) shifts register dramatically. The same David who opened with</w:t>
      </w:r>
      <w:r>
        <w:t xml:space="preserve"> </w:t>
      </w:r>
      <w:r>
        <w:t xml:space="preserve">“whom shall I fear?”</w:t>
      </w:r>
      <w:r>
        <w:t xml:space="preserve"> </w:t>
      </w:r>
      <w:r>
        <w:t xml:space="preserve">now pleads urgently for God’s face, fears being abandoned, fears being handed to his enemies, fears being left utterly alone. This is not contradiction — it is the honest anatomy of faith under sustained pressure. The God David has confessed in vv. 1–6 is the very God David now desperately needs to show up in vv. 7–14. The psalm closes not with resolution of the threat but with an exhortation — whether from David to himself, or from a liturgical voice to the assembly — to wait for the LORD, to be courageous, to let the heart take courage. The waiting is not passive resignation; it is an act of expectant, disciplined trust.</w:t>
      </w:r>
    </w:p>
    <w:p>
      <w:pPr>
        <w:pStyle w:val="BodyText"/>
      </w:pPr>
      <w:r>
        <w:rPr>
          <w:b/>
          <w:bCs/>
        </w:rPr>
        <w:t xml:space="preserve">This Text — Intent</w:t>
      </w:r>
    </w:p>
    <w:p>
      <w:pPr>
        <w:pStyle w:val="BodyText"/>
      </w:pPr>
      <w:r>
        <w:t xml:space="preserve">God’s intent through Psalm 27 is to form in His people a faith that does not collapse under the weight of unanswered prayer, prolonged danger, or felt divine absence. The psalm is not primarily a lesson about confidence — it is a demonstration of how genuine confidence and genuine anguish coexist in the believing heart, and how the soul navigates from one to the other by returning to what it knows about God rather than what it feels about its circumstances. God is calling His people to a quality of trust that sustains itself precisely when the evidence for it is not immediately visible — to seek His face even when His face seems hidden, to wait for Him even when He seems slow. The intent is the formation of durable, honest, worshipping faith.</w:t>
      </w:r>
    </w:p>
    <w:p>
      <w:r>
        <w:pict>
          <v:rect style="width:0;height:1.5pt" o:hralign="center" o:hrstd="t" o:hr="t"/>
        </w:pict>
      </w:r>
    </w:p>
    <w:p>
      <w:pPr>
        <w:pStyle w:val="FirstParagraph"/>
      </w:pPr>
      <w:r>
        <w:rPr>
          <w:b/>
          <w:bCs/>
        </w:rPr>
        <w:t xml:space="preserve">Subject Sentence:</w:t>
      </w:r>
      <w:r>
        <w:t xml:space="preserve"> </w:t>
      </w:r>
      <w:r>
        <w:t xml:space="preserve">The LORD as light and salvation holds His people secure even through seasons of felt absence and unresolved danger.</w:t>
      </w:r>
    </w:p>
    <w:p>
      <w:pPr>
        <w:pStyle w:val="BodyText"/>
      </w:pPr>
      <w:r>
        <w:rPr>
          <w:b/>
          <w:bCs/>
        </w:rPr>
        <w:t xml:space="preserve">Primary Claim:</w:t>
      </w:r>
      <w:r>
        <w:t xml:space="preserve"> </w:t>
      </w:r>
      <w:r>
        <w:t xml:space="preserve">God is calling His people to a courageous, face-seeking trust that does not require immediate resolution — a faith that confesses His sufficiency, cries out in honest need, and waits expectantly because the LORD Himself is the one being waited for.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unity of the psalm’s two halves</w:t>
      </w:r>
      <w:r>
        <w:t xml:space="preserve">: The most significant interpretive question in Psalm 27 is whether vv. 1–6 and vv. 7–14 are from the same author, the same occasion, or the same theological moment. Some critical scholars have argued the psalm is composite — a confident hymn (vv. 1–6) stitched to a lament (vv. 7–14) by a later editor. This reading should be</w:t>
      </w:r>
      <w:r>
        <w:t xml:space="preserve"> </w:t>
      </w:r>
      <w:r>
        <w:rPr>
          <w:b/>
          <w:bCs/>
        </w:rPr>
        <w:t xml:space="preserve">refuted</w:t>
      </w:r>
      <w:r>
        <w:t xml:space="preserve"> </w:t>
      </w:r>
      <w:r>
        <w:t xml:space="preserve">on both literary and theological grounds. Literarily, the movement from confidence to lament and back to exhortation is characteristic of the Psalms’ own genre (cf. Psalms 22, 31, 62) — what Claus Westermann identified as the</w:t>
      </w:r>
      <w:r>
        <w:t xml:space="preserve"> </w:t>
      </w:r>
      <w:r>
        <w:t xml:space="preserve">“movement of the lament.”</w:t>
      </w:r>
      <w:r>
        <w:t xml:space="preserve"> </w:t>
      </w:r>
      <w:r>
        <w:t xml:space="preserve">The tension between vv. 1–6 and vv. 7–14 is not a seam in the text but its central rhetorical power. Theologically, the psalm only makes its full claim if both halves belong together: the point is precisely that the person who makes the boldest confessions of faith is the same person who cries</w:t>
      </w:r>
      <w:r>
        <w:t xml:space="preserve"> </w:t>
      </w:r>
      <w:r>
        <w:t xml:space="preserve">“do not hide your face from me.”</w:t>
      </w:r>
      <w:r>
        <w:t xml:space="preserve"> </w:t>
      </w:r>
      <w:r>
        <w:t xml:space="preserve">Dismembering the psalm removes its most important truth.</w:t>
      </w:r>
    </w:p>
    <w:p>
      <w:pPr>
        <w:pStyle w:val="BodyText"/>
      </w:pPr>
      <w:r>
        <w:rPr>
          <w:b/>
          <w:bCs/>
        </w:rPr>
        <w:t xml:space="preserve">Verse 4 —</w:t>
      </w:r>
      <w:r>
        <w:rPr>
          <w:b/>
          <w:bCs/>
        </w:rPr>
        <w:t xml:space="preserve"> </w:t>
      </w:r>
      <w:r>
        <w:rPr>
          <w:b/>
          <w:bCs/>
        </w:rPr>
        <w:t xml:space="preserve">“one thing I ask”</w:t>
      </w:r>
      <w:r>
        <w:t xml:space="preserve">: Some Wesleyan/Holiness traditions read this verse as a model of entire consecration or a template for the life of</w:t>
      </w:r>
      <w:r>
        <w:t xml:space="preserve"> </w:t>
      </w:r>
      <w:r>
        <w:t xml:space="preserve">“one supreme desire,”</w:t>
      </w:r>
      <w:r>
        <w:t xml:space="preserve"> </w:t>
      </w:r>
      <w:r>
        <w:t xml:space="preserve">suggesting that the lesson of the psalm is simplification of desire toward a singular spiritual priority. This reading</w:t>
      </w:r>
      <w:r>
        <w:t xml:space="preserve"> </w:t>
      </w:r>
      <w:r>
        <w:rPr>
          <w:b/>
          <w:bCs/>
        </w:rPr>
        <w:t xml:space="preserve">partially holds</w:t>
      </w:r>
      <w:r>
        <w:t xml:space="preserve"> </w:t>
      </w:r>
      <w:r>
        <w:t xml:space="preserve">but</w:t>
      </w:r>
      <w:r>
        <w:t xml:space="preserve"> </w:t>
      </w:r>
      <w:r>
        <w:rPr>
          <w:b/>
          <w:bCs/>
        </w:rPr>
        <w:t xml:space="preserve">overreaches</w:t>
      </w:r>
      <w:r>
        <w:t xml:space="preserve">. The verse does model singularity of desire, and that emphasis is worth retaining in application. However, the verse’s primary function in its context is not to prescribe a method of spirituality but to ground David’s confidence: he fears no enemy because his ultimate desire is for God’s presence, and that presence is precisely what the enemy cannot destroy or withhold. The Reformed reading holds the desire for God’s presence as the theological ground of fearlessness, not merely a spiritual discipline to emulate.</w:t>
      </w:r>
    </w:p>
    <w:p>
      <w:pPr>
        <w:pStyle w:val="BodyText"/>
      </w:pPr>
      <w:r>
        <w:rPr>
          <w:b/>
          <w:bCs/>
        </w:rPr>
        <w:t xml:space="preserve">Verse 10 —</w:t>
      </w:r>
      <w:r>
        <w:rPr>
          <w:b/>
          <w:bCs/>
        </w:rPr>
        <w:t xml:space="preserve"> </w:t>
      </w:r>
      <w:r>
        <w:rPr>
          <w:b/>
          <w:bCs/>
        </w:rPr>
        <w:t xml:space="preserve">“my father and mother have forsaken me”</w:t>
      </w:r>
      <w:r>
        <w:t xml:space="preserve">: Dispensational and some Baptist readings treat this verse primarily biographically, connecting it to historical abandonment in David’s life (see 1 Samuel 22:3–4 for David leaving his parents in Moab). While the historical background is worth noting as illustrative, the verse’s rhetorical function is hyperbolic intensification — even the most inconceivable human abandonment does not exhaust the LORD’s faithfulness. The Reformed reading</w:t>
      </w:r>
      <w:r>
        <w:t xml:space="preserve"> </w:t>
      </w:r>
      <w:r>
        <w:rPr>
          <w:b/>
          <w:bCs/>
        </w:rPr>
        <w:t xml:space="preserve">qualifies</w:t>
      </w:r>
      <w:r>
        <w:t xml:space="preserve"> </w:t>
      </w:r>
      <w:r>
        <w:t xml:space="preserve">the biographical approach: history may illuminate but the theological claim is larger — the LORD’s faithfulness holds even when every conceivable human support has failed.</w:t>
      </w:r>
    </w:p>
    <w:p>
      <w:pPr>
        <w:pStyle w:val="BodyText"/>
      </w:pPr>
      <w:r>
        <w:rPr>
          <w:b/>
          <w:bCs/>
        </w:rPr>
        <w:t xml:space="preserve">Verse 13 —</w:t>
      </w:r>
      <w:r>
        <w:rPr>
          <w:b/>
          <w:bCs/>
        </w:rPr>
        <w:t xml:space="preserve"> </w:t>
      </w:r>
      <w:r>
        <w:rPr>
          <w:b/>
          <w:bCs/>
        </w:rPr>
        <w:t xml:space="preserve">“I believe I shall look upon the goodness of the LORD in the land of the living”</w:t>
      </w:r>
      <w:r>
        <w:t xml:space="preserve">: Some Pentecostal and charismatic readings develop this verse into a theology of expected visible, material blessing in the present life — the</w:t>
      </w:r>
      <w:r>
        <w:t xml:space="preserve"> </w:t>
      </w:r>
      <w:r>
        <w:t xml:space="preserve">“land of the living”</w:t>
      </w:r>
      <w:r>
        <w:t xml:space="preserve"> </w:t>
      </w:r>
      <w:r>
        <w:t xml:space="preserve">as a category for physical, temporal flourishing to be claimed by faith. This should be</w:t>
      </w:r>
      <w:r>
        <w:t xml:space="preserve"> </w:t>
      </w:r>
      <w:r>
        <w:rPr>
          <w:b/>
          <w:bCs/>
        </w:rPr>
        <w:t xml:space="preserve">qualified</w:t>
      </w:r>
      <w:r>
        <w:t xml:space="preserve">. The verse does assert present-tense expectation of God’s goodness, and that expectation is real and should not be spiritualized away into pure eschatology. However, the verse’s force is not a prosperity formula but an act of willful, confessional trust against felt evidence to the contrary — the verse appears to begin with an implied</w:t>
      </w:r>
      <w:r>
        <w:t xml:space="preserve"> </w:t>
      </w:r>
      <w:r>
        <w:t xml:space="preserve">“unless I had believed”</w:t>
      </w:r>
      <w:r>
        <w:t xml:space="preserve"> </w:t>
      </w:r>
      <w:r>
        <w:t xml:space="preserve">(reflected in many translations), suggesting the confession itself is what prevents despair. The Reformed reading holds both the present orientation of the hope and its character as faith rather than sight.</w:t>
      </w:r>
    </w:p>
    <w:p>
      <w:pPr>
        <w:pStyle w:val="BodyText"/>
      </w:pPr>
      <w:r>
        <w:rPr>
          <w:b/>
          <w:bCs/>
        </w:rPr>
        <w:t xml:space="preserve">The closing exhortation (v. 14)</w:t>
      </w:r>
      <w:r>
        <w:t xml:space="preserve">: Lutheran Law/Gospel hermeneutics might read v. 14 primarily as imperative — a demand that exposes the reader’s inability to sustain such waiting — driving the hearer to gospel relief. This reading</w:t>
      </w:r>
      <w:r>
        <w:t xml:space="preserve"> </w:t>
      </w:r>
      <w:r>
        <w:rPr>
          <w:b/>
          <w:bCs/>
        </w:rPr>
        <w:t xml:space="preserve">acknowledges</w:t>
      </w:r>
      <w:r>
        <w:t xml:space="preserve"> </w:t>
      </w:r>
      <w:r>
        <w:t xml:space="preserve">a genuine truth: the command to</w:t>
      </w:r>
      <w:r>
        <w:t xml:space="preserve"> </w:t>
      </w:r>
      <w:r>
        <w:t xml:space="preserve">“wait for the LORD”</w:t>
      </w:r>
      <w:r>
        <w:t xml:space="preserve"> </w:t>
      </w:r>
      <w:r>
        <w:t xml:space="preserve">exposes how little we naturally do so. However, the psalm’s own movement suggests that v. 14 functions more as</w:t>
      </w:r>
      <w:r>
        <w:t xml:space="preserve"> </w:t>
      </w:r>
      <w:r>
        <w:rPr>
          <w:i/>
          <w:iCs/>
        </w:rPr>
        <w:t xml:space="preserve">enabling exhortation</w:t>
      </w:r>
      <w:r>
        <w:t xml:space="preserve"> </w:t>
      </w:r>
      <w:r>
        <w:t xml:space="preserve">than as crushing demand — it is the voice of the community (or the psalmist’s own collected self) calling the heart back to what it already knows. The imperative is grounded in the indicative of vv. 1–6; it does not stand alone as law. Reformed exposition should keep this order visible.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23</w:t>
      </w:r>
      <w:r>
        <w:t xml:space="preserve">: The LORD as shepherd and host who provides complete security</w:t>
      </w:r>
      <w:r>
        <w:t xml:space="preserve"> </w:t>
      </w:r>
      <w:r>
        <w:t xml:space="preserve">“in the presence of enemies”</w:t>
      </w:r>
      <w:r>
        <w:t xml:space="preserve"> </w:t>
      </w:r>
      <w:r>
        <w:t xml:space="preserve">— the same structural confidence in vv. 1–6 of Psalm 27, grounded in relationship rather than circumstance.</w:t>
      </w:r>
    </w:p>
    <w:p>
      <w:pPr>
        <w:numPr>
          <w:ilvl w:val="0"/>
          <w:numId w:val="1001"/>
        </w:numPr>
      </w:pPr>
      <w:r>
        <w:rPr>
          <w:b/>
          <w:bCs/>
        </w:rPr>
        <w:t xml:space="preserve">Isaiah 40:28–31</w:t>
      </w:r>
      <w:r>
        <w:t xml:space="preserve">:</w:t>
      </w:r>
      <w:r>
        <w:t xml:space="preserve"> </w:t>
      </w:r>
      <w:r>
        <w:t xml:space="preserve">“Those who wait for the LORD shall renew their strength”</w:t>
      </w:r>
      <w:r>
        <w:t xml:space="preserve"> </w:t>
      </w:r>
      <w:r>
        <w:t xml:space="preserve">— direct canonical grounding for the waiting theology of Psalm 27:14; waiting is not weakness but the form faith takes in seasons of unanswered need.</w:t>
      </w:r>
    </w:p>
    <w:p>
      <w:pPr>
        <w:numPr>
          <w:ilvl w:val="0"/>
          <w:numId w:val="1001"/>
        </w:numPr>
      </w:pPr>
      <w:r>
        <w:rPr>
          <w:b/>
          <w:bCs/>
        </w:rPr>
        <w:t xml:space="preserve">Lamentations 3:19–26</w:t>
      </w:r>
      <w:r>
        <w:t xml:space="preserve">:</w:t>
      </w:r>
      <w:r>
        <w:t xml:space="preserve"> </w:t>
      </w:r>
      <w:r>
        <w:t xml:space="preserve">“The LORD is my portion, says my soul, therefore I will hope in him”</w:t>
      </w:r>
      <w:r>
        <w:t xml:space="preserve"> </w:t>
      </w:r>
      <w:r>
        <w:t xml:space="preserve">— the same movement from honest anguish (vv. 19–20) to confessional trust (vv. 21–26) that structures Psalm 27; the</w:t>
      </w:r>
      <w:r>
        <w:t xml:space="preserve"> </w:t>
      </w:r>
      <w:r>
        <w:t xml:space="preserve">“great is your faithfulness”</w:t>
      </w:r>
      <w:r>
        <w:t xml:space="preserve"> </w:t>
      </w:r>
      <w:r>
        <w:t xml:space="preserve">confession emerges from, not despite, the lament.</w:t>
      </w:r>
    </w:p>
    <w:p>
      <w:pPr>
        <w:numPr>
          <w:ilvl w:val="0"/>
          <w:numId w:val="1001"/>
        </w:numPr>
      </w:pPr>
      <w:r>
        <w:rPr>
          <w:b/>
          <w:bCs/>
        </w:rPr>
        <w:t xml:space="preserve">Hebrews 11:13–16</w:t>
      </w:r>
      <w:r>
        <w:t xml:space="preserve">: The Old Testament saints who</w:t>
      </w:r>
      <w:r>
        <w:t xml:space="preserve"> </w:t>
      </w:r>
      <w:r>
        <w:t xml:space="preserve">“died in faith, not having received the things promised”</w:t>
      </w:r>
      <w:r>
        <w:t xml:space="preserve"> </w:t>
      </w:r>
      <w:r>
        <w:t xml:space="preserve">— the canonical grounding for Psalm 27’s</w:t>
      </w:r>
      <w:r>
        <w:t xml:space="preserve"> </w:t>
      </w:r>
      <w:r>
        <w:t xml:space="preserve">“land of the living”</w:t>
      </w:r>
      <w:r>
        <w:t xml:space="preserve"> </w:t>
      </w:r>
      <w:r>
        <w:t xml:space="preserve">expectation as a faith-sustained orientation rather than an immediate claim; waiting for the LORD is eschatologically grounded.</w:t>
      </w:r>
    </w:p>
    <w:p>
      <w:pPr>
        <w:numPr>
          <w:ilvl w:val="0"/>
          <w:numId w:val="1001"/>
        </w:numPr>
      </w:pPr>
      <w:r>
        <w:rPr>
          <w:b/>
          <w:bCs/>
        </w:rPr>
        <w:t xml:space="preserve">John 14:1–3</w:t>
      </w:r>
      <w:r>
        <w:t xml:space="preserve">:</w:t>
      </w:r>
      <w:r>
        <w:t xml:space="preserve"> </w:t>
      </w:r>
      <w:r>
        <w:t xml:space="preserve">“Let not your hearts be troubled… I go to prepare a place for you”</w:t>
      </w:r>
      <w:r>
        <w:t xml:space="preserve"> </w:t>
      </w:r>
      <w:r>
        <w:t xml:space="preserve">— the New Covenant fulfillment of the</w:t>
      </w:r>
      <w:r>
        <w:t xml:space="preserve"> </w:t>
      </w:r>
      <w:r>
        <w:t xml:space="preserve">“dwelling in the house of the LORD”</w:t>
      </w:r>
      <w:r>
        <w:t xml:space="preserve"> </w:t>
      </w:r>
      <w:r>
        <w:t xml:space="preserve">desire of Psalm 27:4; what David longed for in terms of temple access, Christ secures as permanent dwelling.</w:t>
      </w:r>
    </w:p>
    <w:p>
      <w:r>
        <w:pict>
          <v:rect style="width:0;height:1.5pt" o:hralign="center" o:hrstd="t" o:hr="t"/>
        </w:pict>
      </w:r>
    </w:p>
    <w:p>
      <w:pPr>
        <w:pStyle w:val="FirstParagraph"/>
      </w:pPr>
      <w:r>
        <w:rPr>
          <w:b/>
          <w:bCs/>
        </w:rPr>
        <w:t xml:space="preserve">Aim:</w:t>
      </w:r>
      <w:r>
        <w:t xml:space="preserve"> </w:t>
      </w:r>
      <w:r>
        <w:t xml:space="preserve">To demonstrate that genuine biblical faith holds confident confession and honest anguish together without resolving the tension prematurely, and to equip the hearer to seek God’s face and wait for Him in seasons where His presence is more confessed than felt.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“The LORD is my light and my salvation”</w:t>
            </w:r>
          </w:p>
        </w:tc>
        <w:tc>
          <w:tcPr/>
          <w:p>
            <w:pPr>
              <w:pStyle w:val="Compact"/>
            </w:pPr>
            <w:r>
              <w:t xml:space="preserve">Triple metaphor: light (illumination/orientation), salvation (deliverance), stronghold (protection). All three are personal —</w:t>
            </w:r>
            <w:r>
              <w:t xml:space="preserve"> </w:t>
            </w:r>
            <w:r>
              <w:t xml:space="preserve">“my.”</w:t>
            </w:r>
          </w:p>
        </w:tc>
      </w:tr>
      <w:tr>
        <w:tc>
          <w:tcPr/>
          <w:p>
            <w:pPr>
              <w:pStyle w:val="Compact"/>
            </w:pPr>
            <w:r>
              <w:t xml:space="preserve">1b</w:t>
            </w:r>
          </w:p>
        </w:tc>
        <w:tc>
          <w:tcPr/>
          <w:p>
            <w:pPr>
              <w:pStyle w:val="Compact"/>
            </w:pPr>
            <w:r>
              <w:t xml:space="preserve">“Whom shall I fear? / Of whom shall I be afraid?”</w:t>
            </w:r>
          </w:p>
        </w:tc>
        <w:tc>
          <w:tcPr/>
          <w:p>
            <w:pPr>
              <w:pStyle w:val="Compact"/>
            </w:pPr>
            <w:r>
              <w:t xml:space="preserve">Rhetorical questions — the answer is</w:t>
            </w:r>
            <w:r>
              <w:t xml:space="preserve"> </w:t>
            </w:r>
            <w:r>
              <w:t xml:space="preserve">“no one.”</w:t>
            </w:r>
            <w:r>
              <w:t xml:space="preserve"> </w:t>
            </w:r>
            <w:r>
              <w:t xml:space="preserve">Fear is not suppressed but displaced by a greater reality.</w:t>
            </w:r>
          </w:p>
        </w:tc>
      </w:tr>
      <w:tr>
        <w:tc>
          <w:tcPr/>
          <w:p>
            <w:pPr>
              <w:pStyle w:val="Compact"/>
            </w:pPr>
            <w:r>
              <w:t xml:space="preserve">2</w:t>
            </w:r>
          </w:p>
        </w:tc>
        <w:tc>
          <w:tcPr/>
          <w:p>
            <w:pPr>
              <w:pStyle w:val="Compact"/>
            </w:pPr>
            <w:r>
              <w:t xml:space="preserve">Evildoers advance to devour his flesh — they stumble and fall</w:t>
            </w:r>
          </w:p>
        </w:tc>
        <w:tc>
          <w:tcPr/>
          <w:p>
            <w:pPr>
              <w:pStyle w:val="Compact"/>
            </w:pPr>
            <w:r>
              <w:t xml:space="preserve">The enemy’s defeat is described as already accomplished; confidence is pre-emptive, not retrospective.</w:t>
            </w:r>
          </w:p>
        </w:tc>
      </w:tr>
      <w:tr>
        <w:tc>
          <w:tcPr/>
          <w:p>
            <w:pPr>
              <w:pStyle w:val="Compact"/>
            </w:pPr>
            <w:r>
              <w:t xml:space="preserve">3</w:t>
            </w:r>
          </w:p>
        </w:tc>
        <w:tc>
          <w:tcPr/>
          <w:p>
            <w:pPr>
              <w:pStyle w:val="Compact"/>
            </w:pPr>
            <w:r>
              <w:t xml:space="preserve">Though an army encamp against him, his heart shall not fear</w:t>
            </w:r>
          </w:p>
        </w:tc>
        <w:tc>
          <w:tcPr/>
          <w:p>
            <w:pPr>
              <w:pStyle w:val="Compact"/>
            </w:pPr>
            <w:r>
              <w:t xml:space="preserve">Escalation: from individual attackers (v. 2) to full military siege. Confidence does not scale with threat level.</w:t>
            </w:r>
          </w:p>
        </w:tc>
      </w:tr>
      <w:tr>
        <w:tc>
          <w:tcPr/>
          <w:p>
            <w:pPr>
              <w:pStyle w:val="Compact"/>
            </w:pPr>
            <w:r>
              <w:t xml:space="preserve">4</w:t>
            </w:r>
          </w:p>
        </w:tc>
        <w:tc>
          <w:tcPr/>
          <w:p>
            <w:pPr>
              <w:pStyle w:val="Compact"/>
            </w:pPr>
            <w:r>
              <w:t xml:space="preserve">“One thing I have asked of the LORD… that I may dwell in the house of the LORD all the days of my life”</w:t>
            </w:r>
          </w:p>
        </w:tc>
        <w:tc>
          <w:tcPr/>
          <w:p>
            <w:pPr>
              <w:pStyle w:val="Compact"/>
            </w:pPr>
            <w:r>
              <w:t xml:space="preserve">The singular desire: God’s presence, God’s beauty, God’s inquiries. This verse is the theological center of vv. 1–6.</w:t>
            </w:r>
          </w:p>
        </w:tc>
      </w:tr>
      <w:tr>
        <w:tc>
          <w:tcPr/>
          <w:p>
            <w:pPr>
              <w:pStyle w:val="Compact"/>
            </w:pPr>
            <w:r>
              <w:t xml:space="preserve">5</w:t>
            </w:r>
          </w:p>
        </w:tc>
        <w:tc>
          <w:tcPr/>
          <w:p>
            <w:pPr>
              <w:pStyle w:val="Compact"/>
            </w:pPr>
            <w:r>
              <w:t xml:space="preserve">In the day of trouble the LORD will hide him in His shelter, set him on a rock</w:t>
            </w:r>
          </w:p>
        </w:tc>
        <w:tc>
          <w:tcPr/>
          <w:p>
            <w:pPr>
              <w:pStyle w:val="Compact"/>
            </w:pPr>
            <w:r>
              <w:t xml:space="preserve">Shelter imagery: tent, hiding, elevation. The temple-dwelling of v. 4 is simultaneously the fortress of v. 5.</w:t>
            </w:r>
          </w:p>
        </w:tc>
      </w:tr>
      <w:tr>
        <w:tc>
          <w:tcPr/>
          <w:p>
            <w:pPr>
              <w:pStyle w:val="Compact"/>
            </w:pPr>
            <w:r>
              <w:t xml:space="preserve">6</w:t>
            </w:r>
          </w:p>
        </w:tc>
        <w:tc>
          <w:tcPr/>
          <w:p>
            <w:pPr>
              <w:pStyle w:val="Compact"/>
            </w:pPr>
            <w:r>
              <w:t xml:space="preserve">His head lifted above enemies; he will offer sacrifices with shouts of joy; he will sing</w:t>
            </w:r>
          </w:p>
        </w:tc>
        <w:tc>
          <w:tcPr/>
          <w:p>
            <w:pPr>
              <w:pStyle w:val="Compact"/>
            </w:pPr>
            <w:r>
              <w:t xml:space="preserve">Triumph expressed as worship. The response to deliverance is liturgical, not merely personal relief.</w:t>
            </w:r>
          </w:p>
        </w:tc>
      </w:tr>
      <w:tr>
        <w:tc>
          <w:tcPr/>
          <w:p>
            <w:pPr>
              <w:pStyle w:val="Compact"/>
            </w:pPr>
            <w:r>
              <w:t xml:space="preserve">7</w:t>
            </w:r>
          </w:p>
        </w:tc>
        <w:tc>
          <w:tcPr/>
          <w:p>
            <w:pPr>
              <w:pStyle w:val="Compact"/>
            </w:pPr>
            <w:r>
              <w:t xml:space="preserve">“Hear, O LORD, when I cry aloud; be gracious to me and answer me”</w:t>
            </w:r>
          </w:p>
        </w:tc>
        <w:tc>
          <w:tcPr/>
          <w:p>
            <w:pPr>
              <w:pStyle w:val="Compact"/>
            </w:pPr>
            <w:r>
              <w:t xml:space="preserve">Register shift: from confession to petition. The same LORD addressed in vv. 1–6 is now urgently petitioned.</w:t>
            </w:r>
          </w:p>
        </w:tc>
      </w:tr>
      <w:tr>
        <w:tc>
          <w:tcPr/>
          <w:p>
            <w:pPr>
              <w:pStyle w:val="Compact"/>
            </w:pPr>
            <w:r>
              <w:t xml:space="preserve">8</w:t>
            </w:r>
          </w:p>
        </w:tc>
        <w:tc>
          <w:tcPr/>
          <w:p>
            <w:pPr>
              <w:pStyle w:val="Compact"/>
            </w:pPr>
            <w:r>
              <w:t xml:space="preserve">“You have said,</w:t>
            </w:r>
            <w:r>
              <w:t xml:space="preserve"> </w:t>
            </w:r>
            <w:r>
              <w:t xml:space="preserve">‘Seek my face.’</w:t>
            </w:r>
            <w:r>
              <w:t xml:space="preserve"> </w:t>
            </w:r>
            <w:r>
              <w:t xml:space="preserve">My heart says to you,</w:t>
            </w:r>
            <w:r>
              <w:t xml:space="preserve"> </w:t>
            </w:r>
            <w:r>
              <w:t xml:space="preserve">‘Your face, LORD, do I seek’</w:t>
            </w:r>
            <w:r>
              <w:t xml:space="preserve">”</w:t>
            </w:r>
          </w:p>
        </w:tc>
        <w:tc>
          <w:tcPr/>
          <w:p>
            <w:pPr>
              <w:pStyle w:val="Compact"/>
            </w:pPr>
            <w:r>
              <w:t xml:space="preserve">David responds to God’s own invitation. Seeking God’s face is not David’s initiative — it answers God’s call.</w:t>
            </w:r>
          </w:p>
        </w:tc>
      </w:tr>
      <w:tr>
        <w:tc>
          <w:tcPr/>
          <w:p>
            <w:pPr>
              <w:pStyle w:val="Compact"/>
            </w:pPr>
            <w:r>
              <w:t xml:space="preserve">9</w:t>
            </w:r>
          </w:p>
        </w:tc>
        <w:tc>
          <w:tcPr/>
          <w:p>
            <w:pPr>
              <w:pStyle w:val="Compact"/>
            </w:pPr>
            <w:r>
              <w:t xml:space="preserve">“Hide not your face from me. Turn not your servant away in anger”</w:t>
            </w:r>
          </w:p>
        </w:tc>
        <w:tc>
          <w:tcPr/>
          <w:p>
            <w:pPr>
              <w:pStyle w:val="Compact"/>
            </w:pPr>
            <w:r>
              <w:t xml:space="preserve">The fear articulated: divine hiddenness. The confident soul of vv. 1–6 fears exactly this — not enemies but God’s absence.</w:t>
            </w:r>
          </w:p>
        </w:tc>
      </w:tr>
      <w:tr>
        <w:tc>
          <w:tcPr/>
          <w:p>
            <w:pPr>
              <w:pStyle w:val="Compact"/>
            </w:pPr>
            <w:r>
              <w:t xml:space="preserve">9b</w:t>
            </w:r>
          </w:p>
        </w:tc>
        <w:tc>
          <w:tcPr/>
          <w:p>
            <w:pPr>
              <w:pStyle w:val="Compact"/>
            </w:pPr>
            <w:r>
              <w:t xml:space="preserve">“You have been my help; cast me not off; forsake me not, O God of my salvation”</w:t>
            </w:r>
          </w:p>
        </w:tc>
        <w:tc>
          <w:tcPr/>
          <w:p>
            <w:pPr>
              <w:pStyle w:val="Compact"/>
            </w:pPr>
            <w:r>
              <w:t xml:space="preserve">Appeal to prior history: God’s past help becomes the argument for present faithfulness.</w:t>
            </w:r>
          </w:p>
        </w:tc>
      </w:tr>
      <w:tr>
        <w:tc>
          <w:tcPr/>
          <w:p>
            <w:pPr>
              <w:pStyle w:val="Compact"/>
            </w:pPr>
            <w:r>
              <w:t xml:space="preserve">10</w:t>
            </w:r>
          </w:p>
        </w:tc>
        <w:tc>
          <w:tcPr/>
          <w:p>
            <w:pPr>
              <w:pStyle w:val="Compact"/>
            </w:pPr>
            <w:r>
              <w:t xml:space="preserve">“My father and mother have forsaken me, but the LORD will take me in”</w:t>
            </w:r>
          </w:p>
        </w:tc>
        <w:tc>
          <w:tcPr/>
          <w:p>
            <w:pPr>
              <w:pStyle w:val="Compact"/>
            </w:pPr>
            <w:r>
              <w:t xml:space="preserve">Hyperbolic intensification: ultimate human abandonment contrasted with LORD’s certain welcome.</w:t>
            </w:r>
          </w:p>
        </w:tc>
      </w:tr>
      <w:tr>
        <w:tc>
          <w:tcPr/>
          <w:p>
            <w:pPr>
              <w:pStyle w:val="Compact"/>
            </w:pPr>
            <w:r>
              <w:t xml:space="preserve">11</w:t>
            </w:r>
          </w:p>
        </w:tc>
        <w:tc>
          <w:tcPr/>
          <w:p>
            <w:pPr>
              <w:pStyle w:val="Compact"/>
            </w:pPr>
            <w:r>
              <w:t xml:space="preserve">“Teach me your way, O LORD, and lead me on a level path because of my enemies”</w:t>
            </w:r>
          </w:p>
        </w:tc>
        <w:tc>
          <w:tcPr/>
          <w:p>
            <w:pPr>
              <w:pStyle w:val="Compact"/>
            </w:pPr>
            <w:r>
              <w:t xml:space="preserve">Request for guidance in the face of threats — wisdom, not just rescue.</w:t>
            </w:r>
          </w:p>
        </w:tc>
      </w:tr>
      <w:tr>
        <w:tc>
          <w:tcPr/>
          <w:p>
            <w:pPr>
              <w:pStyle w:val="Compact"/>
            </w:pPr>
            <w:r>
              <w:t xml:space="preserve">12</w:t>
            </w:r>
          </w:p>
        </w:tc>
        <w:tc>
          <w:tcPr/>
          <w:p>
            <w:pPr>
              <w:pStyle w:val="Compact"/>
            </w:pPr>
            <w:r>
              <w:t xml:space="preserve">“Give me not up to the will of my adversaries; for false witnesses have risen against me”</w:t>
            </w:r>
          </w:p>
        </w:tc>
        <w:tc>
          <w:tcPr/>
          <w:p>
            <w:pPr>
              <w:pStyle w:val="Compact"/>
            </w:pPr>
            <w:r>
              <w:t xml:space="preserve">Specific danger: false accusation. The crisis has a concrete shape — injustice, not just military threat.</w:t>
            </w:r>
          </w:p>
        </w:tc>
      </w:tr>
      <w:tr>
        <w:tc>
          <w:tcPr/>
          <w:p>
            <w:pPr>
              <w:pStyle w:val="Compact"/>
            </w:pPr>
            <w:r>
              <w:t xml:space="preserve">13</w:t>
            </w:r>
          </w:p>
        </w:tc>
        <w:tc>
          <w:tcPr/>
          <w:p>
            <w:pPr>
              <w:pStyle w:val="Compact"/>
            </w:pPr>
            <w:r>
              <w:t xml:space="preserve">“I believe that I shall look upon the goodness of the LORD in the land of the living”</w:t>
            </w:r>
          </w:p>
        </w:tc>
        <w:tc>
          <w:tcPr/>
          <w:p>
            <w:pPr>
              <w:pStyle w:val="Compact"/>
            </w:pPr>
            <w:r>
              <w:t xml:space="preserve">Confessional faith-claim against despair. The verse implies:</w:t>
            </w:r>
            <w:r>
              <w:t xml:space="preserve"> </w:t>
            </w:r>
            <w:r>
              <w:t xml:space="preserve">“unless I had believed this, I would have fainted.”</w:t>
            </w:r>
          </w:p>
        </w:tc>
      </w:tr>
      <w:tr>
        <w:tc>
          <w:tcPr/>
          <w:p>
            <w:pPr>
              <w:pStyle w:val="Compact"/>
            </w:pPr>
            <w:r>
              <w:t xml:space="preserve">14</w:t>
            </w:r>
          </w:p>
        </w:tc>
        <w:tc>
          <w:tcPr/>
          <w:p>
            <w:pPr>
              <w:pStyle w:val="Compact"/>
            </w:pPr>
            <w:r>
              <w:t xml:space="preserve">“Wait for the LORD; be strong, and let your heart take courage; wait for the LORD!”</w:t>
            </w:r>
          </w:p>
        </w:tc>
        <w:tc>
          <w:tcPr/>
          <w:p>
            <w:pPr>
              <w:pStyle w:val="Compact"/>
            </w:pPr>
            <w:r>
              <w:t xml:space="preserve">Closing exhortation — doubling of</w:t>
            </w:r>
            <w:r>
              <w:t xml:space="preserve"> </w:t>
            </w:r>
            <w:r>
              <w:t xml:space="preserve">“wait”</w:t>
            </w:r>
            <w:r>
              <w:t xml:space="preserve"> </w:t>
            </w:r>
            <w:r>
              <w:t xml:space="preserve">frames the verse. Courage is commanded because it is needed; waiting is active, not passive.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Fearless Confession: The LORD as Light, Salvation, and Stronghold</w:t>
            </w:r>
          </w:p>
        </w:tc>
      </w:tr>
      <w:tr>
        <w:tc>
          <w:tcPr/>
          <w:p>
            <w:pPr>
              <w:pStyle w:val="Compact"/>
            </w:pPr>
            <w:r>
              <w:t xml:space="preserve">2</w:t>
            </w:r>
          </w:p>
        </w:tc>
        <w:tc>
          <w:tcPr/>
          <w:p>
            <w:pPr>
              <w:pStyle w:val="Compact"/>
            </w:pPr>
            <w:r>
              <w:t xml:space="preserve">4–6</w:t>
            </w:r>
          </w:p>
        </w:tc>
        <w:tc>
          <w:tcPr/>
          <w:p>
            <w:pPr>
              <w:pStyle w:val="Compact"/>
            </w:pPr>
            <w:r>
              <w:t xml:space="preserve">The Singular Desire: Dwelling in God’s Presence as the Ground of All Courage</w:t>
            </w:r>
          </w:p>
        </w:tc>
      </w:tr>
      <w:tr>
        <w:tc>
          <w:tcPr/>
          <w:p>
            <w:pPr>
              <w:pStyle w:val="Compact"/>
            </w:pPr>
            <w:r>
              <w:t xml:space="preserve">3</w:t>
            </w:r>
          </w:p>
        </w:tc>
        <w:tc>
          <w:tcPr/>
          <w:p>
            <w:pPr>
              <w:pStyle w:val="Compact"/>
            </w:pPr>
            <w:r>
              <w:t xml:space="preserve">7–9</w:t>
            </w:r>
          </w:p>
        </w:tc>
        <w:tc>
          <w:tcPr/>
          <w:p>
            <w:pPr>
              <w:pStyle w:val="Compact"/>
            </w:pPr>
            <w:r>
              <w:t xml:space="preserve">The Urgent Petition: Seek His Face Before It Is Hidden</w:t>
            </w:r>
          </w:p>
        </w:tc>
      </w:tr>
      <w:tr>
        <w:tc>
          <w:tcPr/>
          <w:p>
            <w:pPr>
              <w:pStyle w:val="Compact"/>
            </w:pPr>
            <w:r>
              <w:t xml:space="preserve">4</w:t>
            </w:r>
          </w:p>
        </w:tc>
        <w:tc>
          <w:tcPr/>
          <w:p>
            <w:pPr>
              <w:pStyle w:val="Compact"/>
            </w:pPr>
            <w:r>
              <w:t xml:space="preserve">10–12</w:t>
            </w:r>
          </w:p>
        </w:tc>
        <w:tc>
          <w:tcPr/>
          <w:p>
            <w:pPr>
              <w:pStyle w:val="Compact"/>
            </w:pPr>
            <w:r>
              <w:t xml:space="preserve">The Honest Anguish: Forsaken, Falsely Accused, and Still Asking</w:t>
            </w:r>
          </w:p>
        </w:tc>
      </w:tr>
      <w:tr>
        <w:tc>
          <w:tcPr/>
          <w:p>
            <w:pPr>
              <w:pStyle w:val="Compact"/>
            </w:pPr>
            <w:r>
              <w:t xml:space="preserve">5</w:t>
            </w:r>
          </w:p>
        </w:tc>
        <w:tc>
          <w:tcPr/>
          <w:p>
            <w:pPr>
              <w:pStyle w:val="Compact"/>
            </w:pPr>
            <w:r>
              <w:t xml:space="preserve">13–14</w:t>
            </w:r>
          </w:p>
        </w:tc>
        <w:tc>
          <w:tcPr/>
          <w:p>
            <w:pPr>
              <w:pStyle w:val="Compact"/>
            </w:pPr>
            <w:r>
              <w:t xml:space="preserve">The Courageous Wait: Confessing Goodness and Holding the Line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as light and salvation holds His people secure even through seasons of felt absence and unresolved danger.</w:t>
      </w:r>
    </w:p>
    <w:p>
      <w:pPr>
        <w:pStyle w:val="BodyText"/>
      </w:pPr>
      <w:r>
        <w:rPr>
          <w:b/>
          <w:bCs/>
        </w:rPr>
        <w:t xml:space="preserve">Primary Claim:</w:t>
      </w:r>
      <w:r>
        <w:t xml:space="preserve"> </w:t>
      </w:r>
      <w:r>
        <w:t xml:space="preserve">God is calling His people to a courageous, face-seeking trust that does not require immediate resolution — a faith that confesses His sufficiency, cries out in honest need, and waits expectantly because the LORD Himself is the one being waited for.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danger by naming your God before you name your threat.</w:t>
      </w:r>
      <w:r>
        <w:t xml:space="preserve"> </w:t>
      </w:r>
      <w:r>
        <w:rPr>
          <w:i/>
          <w:iCs/>
        </w:rPr>
        <w:t xml:space="preserve">(Mind/Belief)</w:t>
      </w:r>
      <w:r>
        <w:t xml:space="preserve"> </w:t>
      </w:r>
      <w:r>
        <w:t xml:space="preserve">David does not ignore the army or minimize the evildoers — he names them plainly (vv. 2–3). But he names the LORD first (v. 1). The sequence is not incidental; it is structural. When you begin your assessment of a crisis with the crisis, the crisis controls the frame. When you begin with</w:t>
      </w:r>
      <w:r>
        <w:t xml:space="preserve"> </w:t>
      </w:r>
      <w:r>
        <w:t xml:space="preserve">“the LORD is my light and my salvation,”</w:t>
      </w:r>
      <w:r>
        <w:t xml:space="preserve"> </w:t>
      </w:r>
      <w:r>
        <w:t xml:space="preserve">you have set the crisis inside a larger reality. The practice is concrete: before you speak of what you are facing, speak of who goes before you into it.</w:t>
      </w:r>
    </w:p>
    <w:p>
      <w:pPr>
        <w:pStyle w:val="BodyText"/>
      </w:pPr>
      <w:r>
        <w:rPr>
          <w:b/>
          <w:bCs/>
        </w:rPr>
        <w:t xml:space="preserve">2. Identify the singular desire beneath your scattered anxieties.</w:t>
      </w:r>
      <w:r>
        <w:t xml:space="preserve"> </w:t>
      </w:r>
      <w:r>
        <w:rPr>
          <w:i/>
          <w:iCs/>
        </w:rPr>
        <w:t xml:space="preserve">(Affections/Worship)</w:t>
      </w:r>
      <w:r>
        <w:t xml:space="preserve"> </w:t>
      </w:r>
      <w:r>
        <w:t xml:space="preserve">David’s fearlessness in vv. 1–3 is not a temperamental trait or a spiritual achievement — it is the fruit of a singular desire that has reorganized his entire value system (v. 4). When the one thing you most want is God’s presence, the loss of everything else does not constitute catastrophe. The diagnostic question this passage presses is not</w:t>
      </w:r>
      <w:r>
        <w:t xml:space="preserve"> </w:t>
      </w:r>
      <w:r>
        <w:t xml:space="preserve">“how can I be less afraid?”</w:t>
      </w:r>
      <w:r>
        <w:t xml:space="preserve"> </w:t>
      </w:r>
      <w:r>
        <w:t xml:space="preserve">but</w:t>
      </w:r>
      <w:r>
        <w:t xml:space="preserve"> </w:t>
      </w:r>
      <w:r>
        <w:t xml:space="preserve">“what do I most want?”</w:t>
      </w:r>
      <w:r>
        <w:t xml:space="preserve"> </w:t>
      </w:r>
      <w:r>
        <w:t xml:space="preserve">— because the answer to the first question is hidden inside the answer to the second. Where your supreme desire has been placed in something that can be taken by enemies, you will be afraid of enemies. Where it has been placed in the LORD, you will not.</w:t>
      </w:r>
    </w:p>
    <w:p>
      <w:pPr>
        <w:pStyle w:val="BodyText"/>
      </w:pPr>
      <w:r>
        <w:rPr>
          <w:b/>
          <w:bCs/>
        </w:rPr>
        <w:t xml:space="preserve">3. Bring your anguish to God in the exact form it takes — do not smooth it into piety before you pray it.</w:t>
      </w:r>
      <w:r>
        <w:t xml:space="preserve"> </w:t>
      </w:r>
      <w:r>
        <w:rPr>
          <w:i/>
          <w:iCs/>
        </w:rPr>
        <w:t xml:space="preserve">(Affections/Worship)</w:t>
      </w:r>
      <w:r>
        <w:t xml:space="preserve"> </w:t>
      </w:r>
      <w:r>
        <w:t xml:space="preserve">David’s lament in vv. 7–12 is not a failure of faith but its continuation by other means. He does not resolve his confidence from vv. 1–6 before he prays vv. 7–12; he carries both into God’s presence simultaneously. The temptation in Christian piety is to wait until we feel sufficiently composed or sufficiently faithful before we pray — as if God can only be approached with clean emotions. Psalm 27 gives permission, and more than permission, a model: the cry</w:t>
      </w:r>
      <w:r>
        <w:t xml:space="preserve"> </w:t>
      </w:r>
      <w:r>
        <w:t xml:space="preserve">“do not hide your face from me”</w:t>
      </w:r>
      <w:r>
        <w:t xml:space="preserve"> </w:t>
      </w:r>
      <w:r>
        <w:t xml:space="preserve">(v. 9) is itself an act of trust in the one being cried to.</w:t>
      </w:r>
    </w:p>
    <w:p>
      <w:pPr>
        <w:pStyle w:val="BodyText"/>
      </w:pPr>
      <w:r>
        <w:rPr>
          <w:b/>
          <w:bCs/>
        </w:rPr>
        <w:t xml:space="preserve">4. When all human support fails, argue from God’s prior faithfulness, not from your present feelings.</w:t>
      </w:r>
      <w:r>
        <w:t xml:space="preserve"> </w:t>
      </w:r>
      <w:r>
        <w:rPr>
          <w:i/>
          <w:iCs/>
        </w:rPr>
        <w:t xml:space="preserve">(Mind/Belief)</w:t>
      </w:r>
      <w:r>
        <w:t xml:space="preserve"> </w:t>
      </w:r>
      <w:r>
        <w:t xml:space="preserve">Verses 9b–10 contain David’s strategy for the moment of maximum abandonment: he appeals to history (</w:t>
      </w:r>
      <w:r>
        <w:t xml:space="preserve">“you have been my help”</w:t>
      </w:r>
      <w:r>
        <w:t xml:space="preserve">) and to the LORD’s character (</w:t>
      </w:r>
      <w:r>
        <w:t xml:space="preserve">“the LORD will take me in”</w:t>
      </w:r>
      <w:r>
        <w:t xml:space="preserve">) rather than to his current emotional state. The felt sense of God’s presence is not a reliable theological category — it fluctuates with sleep, health, circumstance, and the weather. The record of God’s faithfulness does not fluctuate. When the present seems to contradict the confession, the biblical move is not to revise the confession but to rehearse the history and hold the line.</w:t>
      </w:r>
    </w:p>
    <w:p>
      <w:pPr>
        <w:pStyle w:val="BodyText"/>
      </w:pPr>
      <w:r>
        <w:rPr>
          <w:b/>
          <w:bCs/>
        </w:rPr>
        <w:t xml:space="preserve">5. Practice the discipline of active waiting — make waiting itself the concrete act of faith you perform today.</w:t>
      </w:r>
      <w:r>
        <w:t xml:space="preserve"> </w:t>
      </w:r>
      <w:r>
        <w:rPr>
          <w:i/>
          <w:iCs/>
        </w:rPr>
        <w:t xml:space="preserve">(Will/Behavior)</w:t>
      </w:r>
      <w:r>
        <w:t xml:space="preserve"> </w:t>
      </w:r>
      <w:r>
        <w:t xml:space="preserve">The double command in v. 14 —</w:t>
      </w:r>
      <w:r>
        <w:t xml:space="preserve"> </w:t>
      </w:r>
      <w:r>
        <w:t xml:space="preserve">“wait for the LORD… wait for the LORD”</w:t>
      </w:r>
      <w:r>
        <w:t xml:space="preserve"> </w:t>
      </w:r>
      <w:r>
        <w:t xml:space="preserve">— is not poetic filler; the repetition is the instruction. Waiting is prescribed as a discipline because it does not come naturally. Active waiting in Psalm 27’s frame means: returning to the confession of v. 1 before checking your circumstances again; seeking God’s face (v. 8) before seeking a solution; resisting the temptation to force resolution by your own action on a timeline God has not yet blessed. This week, identify the specific situation in which you are most tempted to act prematurely or despair prematurely — and practice waiting for the LORD there, concretely, with courageous patience.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27 teaches that the LORD is simultaneously the answer to every threat and the object of every legitimate desire — not merely powerful enough to protect, but beautiful enough to seek above all else. The psalm grounds fearlessness not in spiritual technique or emotional resilience but in the character and presence of the God who has called His people to seek His face. The LORD’s hiddenness (v. 9) is presented as the deepest possible danger — deeper than armies, deeper than false accusation, deeper than parental abandonment — which means the psalm is implicitly teaching that the worst thing that can happen is not death or defeat but distance from God. The theological spine of the psalm is therefore relational: the God who is light, salvation, and stronghold is also the God of the beautiful house, the sought face, and the faithful welcome — and these are not separable descriptions.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27 displays with particular clarity the Reformed understanding that saving faith is not a uniform emotional state but a theological posture sustained by the knowledge of God against the evidence of circumstances. The psalm refuses both the error of a triumphalism that denies genuine anguish and the error of a pietism that treats honest lament as spiritual failure. The confession of v. 1 and the cry of v. 9 are not in tension — they are two expressions of the same faith operating in two different registers. The</w:t>
      </w:r>
      <w:r>
        <w:t xml:space="preserve"> </w:t>
      </w:r>
      <w:r>
        <w:t xml:space="preserve">“one thing”</w:t>
      </w:r>
      <w:r>
        <w:t xml:space="preserve"> </w:t>
      </w:r>
      <w:r>
        <w:t xml:space="preserve">of v. 4 functions as the Reformed doctrine of the supreme value of communion with God made concrete in David’s singular desire, anticipating what the Westminster Shorter Catechism will later articulate as man’s chief end. The closing exhortation to wait (v. 14) reflects the Reformed conviction that perseverance is not automatic but is both commanded and enabled by the same God it is directed toward — the imperative stands on the indicative of vv. 1–6, sustained by the same Spirit who moved David to confess before he cried.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your light, salvation, and stronghold is the very same God who hides His face and keeps you waiting — and the psalm is not troubled by that tension, because His presence is what you are waiting</w:t>
      </w:r>
      <w:r>
        <w:t xml:space="preserve"> </w:t>
      </w:r>
      <w:r>
        <w:rPr>
          <w:i/>
          <w:iCs/>
        </w:rPr>
        <w:t xml:space="preserve">for</w:t>
      </w:r>
      <w:r>
        <w:t xml:space="preserve">, not merely waiting</w:t>
      </w:r>
      <w:r>
        <w:t xml:space="preserve"> </w:t>
      </w:r>
      <w:r>
        <w:rPr>
          <w:i/>
          <w:iCs/>
        </w:rPr>
        <w:t xml:space="preserve">to hear from</w:t>
      </w:r>
      <w:r>
        <w:t xml:space="preserve">. Seek His face. Tell Him everything. Hold the line. He is worth the wait.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only half the psalm and losing the whole claim.</w:t>
      </w:r>
      <w:r>
        <w:t xml:space="preserve"> </w:t>
      </w:r>
      <w:r>
        <w:t xml:space="preserve">The most common homiletical failure with Psalm 27 is to preach vv. 1–6 as a self-contained message on</w:t>
      </w:r>
      <w:r>
        <w:t xml:space="preserve"> </w:t>
      </w:r>
      <w:r>
        <w:t xml:space="preserve">“fearless faith”</w:t>
      </w:r>
      <w:r>
        <w:t xml:space="preserve"> </w:t>
      </w:r>
      <w:r>
        <w:t xml:space="preserve">and treat vv. 7–14 as an appendix or a separate text. This destroys the psalm’s central claim. The entire point is that the person who confesses</w:t>
      </w:r>
      <w:r>
        <w:t xml:space="preserve"> </w:t>
      </w:r>
      <w:r>
        <w:t xml:space="preserve">“whom shall I fear?”</w:t>
      </w:r>
      <w:r>
        <w:t xml:space="preserve"> </w:t>
      </w:r>
      <w:r>
        <w:t xml:space="preserve">in v. 1 is the same person who pleads</w:t>
      </w:r>
      <w:r>
        <w:t xml:space="preserve"> </w:t>
      </w:r>
      <w:r>
        <w:t xml:space="preserve">“do not hide your face from me”</w:t>
      </w:r>
      <w:r>
        <w:t xml:space="preserve"> </w:t>
      </w:r>
      <w:r>
        <w:t xml:space="preserve">in v. 9 — and both belong to authentic, mature faith. A sermon that preaches the confidence without the lament produces a triumphalistic distortion; a sermon that preaches the lament without the confidence produces a therapeutic Christianity without theological spine.</w:t>
      </w:r>
    </w:p>
    <w:p>
      <w:pPr>
        <w:numPr>
          <w:ilvl w:val="0"/>
          <w:numId w:val="1002"/>
        </w:numPr>
      </w:pPr>
      <w:r>
        <w:rPr>
          <w:b/>
          <w:bCs/>
        </w:rPr>
        <w:t xml:space="preserve">Treating v. 4 as a spiritual technique rather than a theological foundation.</w:t>
      </w:r>
      <w:r>
        <w:t xml:space="preserve"> </w:t>
      </w:r>
      <w:r>
        <w:t xml:space="preserve">“One thing I ask”</w:t>
      </w:r>
      <w:r>
        <w:t xml:space="preserve"> </w:t>
      </w:r>
      <w:r>
        <w:t xml:space="preserve">is frequently preached as a prescription for simplifying one’s prayer life or developing a focused spiritual practice. While the verse does model singular desire, its primary function in context is to explain why David fears nothing — not to describe a method of spirituality but to name the source of his fearlessness. Preaching the verse as technique separates it from the confidence it grounds and reduces it to practical spirituality.</w:t>
      </w:r>
    </w:p>
    <w:p>
      <w:pPr>
        <w:numPr>
          <w:ilvl w:val="0"/>
          <w:numId w:val="1002"/>
        </w:numPr>
      </w:pPr>
      <w:r>
        <w:rPr>
          <w:b/>
          <w:bCs/>
        </w:rPr>
        <w:t xml:space="preserve">Resolving the tension of the psalm too quickly.</w:t>
      </w:r>
      <w:r>
        <w:t xml:space="preserve"> </w:t>
      </w:r>
      <w:r>
        <w:t xml:space="preserve">The psalm does not end with the threat removed or the enemies defeated or the sense of abandonment dispelled — it ends with a command to wait. A sermon that rushes to comfort or resolution before the congregation has sat with vv. 7–12 has short-circuited what God intends to accomplish. The anguish of the psalm is not a problem to be solved homiletically but a reality to be inhabited long enough for the closing exhortation to carry its full weight.</w:t>
      </w:r>
    </w:p>
    <w:p>
      <w:pPr>
        <w:numPr>
          <w:ilvl w:val="0"/>
          <w:numId w:val="1002"/>
        </w:numPr>
      </w:pPr>
      <w:r>
        <w:rPr>
          <w:b/>
          <w:bCs/>
        </w:rPr>
        <w:t xml:space="preserve">Moralizing v. 14 without grounding it in the indicatives of vv. 1–6.</w:t>
      </w:r>
      <w:r>
        <w:t xml:space="preserve"> </w:t>
      </w:r>
      <w:r>
        <w:t xml:space="preserve">“Wait for the LORD, be strong, take courage”</w:t>
      </w:r>
      <w:r>
        <w:t xml:space="preserve"> </w:t>
      </w:r>
      <w:r>
        <w:t xml:space="preserve">can easily become a three-point life application detached from its theological foundation. Waiting is commanded here because of who the LORD is (v. 1), what the LORD has done (v. 9b), and what the LORD will yet do (v. 13) — not as a generic virtue or a coping strategy. The imperative of v. 14 cannot carry its weight unless it is hung on the indicatives that precede it.</w:t>
      </w:r>
    </w:p>
    <w:p>
      <w:pPr>
        <w:numPr>
          <w:ilvl w:val="0"/>
          <w:numId w:val="1002"/>
        </w:numPr>
      </w:pPr>
      <w:r>
        <w:rPr>
          <w:b/>
          <w:bCs/>
        </w:rPr>
        <w:t xml:space="preserve">Psychologizing the psalm’s movement as stages of grief or emotional process.</w:t>
      </w:r>
      <w:r>
        <w:t xml:space="preserve"> </w:t>
      </w:r>
      <w:r>
        <w:t xml:space="preserve">The shift from confidence (vv. 1–6) to lament (vv. 7–12) to exhortation (vv. 13–14) can be read through a therapeutic lens as a healthy emotional process — a journey from denial through grief to acceptance. This reading loses the psalm’s theological character entirely. The movement is not psychological; it is theological: David is not processing emotions in sequence but displaying the simultaneous coexistence of faith and need, confession and cry, confidence and waiting. Preaching it as emotional stages collapses the psalm’s most important claim.</w:t>
      </w:r>
    </w:p>
    <w:p>
      <w:pPr>
        <w:numPr>
          <w:ilvl w:val="0"/>
          <w:numId w:val="1002"/>
        </w:numPr>
      </w:pPr>
      <w:r>
        <w:rPr>
          <w:b/>
          <w:bCs/>
        </w:rPr>
        <w:t xml:space="preserve">Detaching</w:t>
      </w:r>
      <w:r>
        <w:rPr>
          <w:b/>
          <w:bCs/>
        </w:rPr>
        <w:t xml:space="preserve"> </w:t>
      </w:r>
      <w:r>
        <w:rPr>
          <w:b/>
          <w:bCs/>
        </w:rPr>
        <w:t xml:space="preserve">“The LORD is my light and my salvation”</w:t>
      </w:r>
      <w:r>
        <w:rPr>
          <w:b/>
          <w:bCs/>
        </w:rPr>
        <w:t xml:space="preserve"> </w:t>
      </w:r>
      <w:r>
        <w:rPr>
          <w:b/>
          <w:bCs/>
        </w:rPr>
        <w:t xml:space="preserve">(v. 1) from its canonical context.</w:t>
      </w:r>
      <w:r>
        <w:t xml:space="preserve"> </w:t>
      </w:r>
      <w:r>
        <w:t xml:space="preserve">Verse 1 is frequently quoted as a standalone statement of faith, a Christian greeting, or an encouragement card sentiment. In context,</w:t>
      </w:r>
      <w:r>
        <w:t xml:space="preserve"> </w:t>
      </w:r>
      <w:r>
        <w:t xml:space="preserve">“light”</w:t>
      </w:r>
      <w:r>
        <w:t xml:space="preserve"> </w:t>
      </w:r>
      <w:r>
        <w:t xml:space="preserve">does not mean general guidance or warm feeling — it is a category of orientation against darkness and confusion, and</w:t>
      </w:r>
      <w:r>
        <w:t xml:space="preserve"> </w:t>
      </w:r>
      <w:r>
        <w:t xml:space="preserve">“salvation”</w:t>
      </w:r>
      <w:r>
        <w:t xml:space="preserve"> </w:t>
      </w:r>
      <w:r>
        <w:t xml:space="preserve">is a concrete deliverance from concrete enemies.</w:t>
      </w:r>
      <w:r>
        <w:t xml:space="preserve"> </w:t>
      </w:r>
      <w:r>
        <w:t xml:space="preserve">“Stronghold”</w:t>
      </w:r>
      <w:r>
        <w:t xml:space="preserve"> </w:t>
      </w:r>
      <w:r>
        <w:t xml:space="preserve">is a military term. The verse is bold, specific, and danger-aware — not a generic spirituality but a defiant confessional claim made while enemies are advancing.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2026-07-14T21:04:38Z</dcterms:created>
  <dcterms:modified xsi:type="dcterms:W3CDTF">2026-07-14T21:04:38Z</dcterms:modified>
</cp:coreProperties>
</file>

<file path=docProps/custom.xml><?xml version="1.0" encoding="utf-8"?>
<Properties xmlns="http://schemas.openxmlformats.org/officeDocument/2006/custom-properties" xmlns:vt="http://schemas.openxmlformats.org/officeDocument/2006/docPropsVTypes"/>
</file>